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能力指標：</w:t>
      </w:r>
      <w:r w:rsidDel="00000000" w:rsidR="00000000" w:rsidRPr="00000000">
        <w:rPr>
          <w:rFonts w:ascii="Arial" w:cs="Arial" w:eastAsia="Arial" w:hAnsi="Arial"/>
          <w:rtl w:val="0"/>
        </w:rPr>
        <w:t xml:space="preserve">7-n-07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"/>
        <w:tblGridChange w:id="0">
          <w:tblGrid>
            <w:gridCol w:w="1110"/>
            <w:gridCol w:w="6045"/>
            <w:gridCol w:w="114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7-n-07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能熟練數的運算規則。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N-4-08</w:t>
            </w:r>
          </w:p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A-4-02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60" w:before="60" w:lineRule="auto"/>
        <w:ind w:left="60" w:right="60" w:firstLine="0"/>
        <w:contextualSpacing w:val="0"/>
        <w:rPr/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說明：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60" w:before="60" w:line="240" w:lineRule="auto"/>
        <w:ind w:left="480" w:right="62" w:hanging="480"/>
        <w:rPr>
          <w:rFonts w:ascii="新細明體" w:cs="新細明體" w:eastAsia="新細明體" w:hAnsi="新細明體"/>
          <w:b w:val="0"/>
          <w:color w:val="000000"/>
          <w:sz w:val="24"/>
          <w:szCs w:val="24"/>
        </w:rPr>
      </w:pPr>
      <w:r w:rsidDel="00000000" w:rsidR="00000000" w:rsidRPr="00000000">
        <w:rPr>
          <w:rFonts w:ascii="新細明體" w:cs="新細明體" w:eastAsia="新細明體" w:hAnsi="新細明體"/>
          <w:b w:val="0"/>
          <w:color w:val="000000"/>
          <w:sz w:val="24"/>
          <w:szCs w:val="24"/>
          <w:rtl w:val="0"/>
        </w:rPr>
        <w:t xml:space="preserve">本細目的運算規則指的是交換律、結合律、分配律。</w:t>
        <w:br w:type="textWrapping"/>
        <w:t xml:space="preserve">交換律：</w:t>
      </w:r>
      <w:r w:rsidDel="00000000" w:rsidR="00000000" w:rsidRPr="00000000">
        <w:drawing>
          <wp:inline distB="0" distT="0" distL="114300" distR="114300">
            <wp:extent cx="809625" cy="180975"/>
            <wp:effectExtent b="0" l="0" r="0" t="0"/>
            <wp:docPr id="11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新細明體" w:cs="新細明體" w:eastAsia="新細明體" w:hAnsi="新細明體"/>
          <w:b w:val="0"/>
          <w:color w:val="000000"/>
          <w:sz w:val="24"/>
          <w:szCs w:val="24"/>
          <w:rtl w:val="0"/>
        </w:rPr>
        <w:t xml:space="preserve">               </w:t>
      </w:r>
      <w:r w:rsidDel="00000000" w:rsidR="00000000" w:rsidRPr="00000000">
        <w:drawing>
          <wp:inline distB="0" distT="0" distL="114300" distR="114300">
            <wp:extent cx="771525" cy="180975"/>
            <wp:effectExtent b="0" l="0" r="0" t="0"/>
            <wp:docPr id="13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新細明體" w:cs="新細明體" w:eastAsia="新細明體" w:hAnsi="新細明體"/>
          <w:b w:val="0"/>
          <w:color w:val="000000"/>
          <w:sz w:val="24"/>
          <w:szCs w:val="24"/>
          <w:rtl w:val="0"/>
        </w:rPr>
        <w:br w:type="textWrapping"/>
        <w:t xml:space="preserve">結合律：</w:t>
      </w:r>
      <w:r w:rsidDel="00000000" w:rsidR="00000000" w:rsidRPr="00000000">
        <w:drawing>
          <wp:inline distB="0" distT="0" distL="114300" distR="114300">
            <wp:extent cx="1447800" cy="200025"/>
            <wp:effectExtent b="0" l="0" r="0" t="0"/>
            <wp:docPr id="12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新細明體" w:cs="新細明體" w:eastAsia="新細明體" w:hAnsi="新細明體"/>
          <w:b w:val="0"/>
          <w:color w:val="000000"/>
          <w:sz w:val="24"/>
          <w:szCs w:val="24"/>
          <w:rtl w:val="0"/>
        </w:rPr>
        <w:t xml:space="preserve">     </w:t>
      </w:r>
      <w:r w:rsidDel="00000000" w:rsidR="00000000" w:rsidRPr="00000000">
        <w:drawing>
          <wp:inline distB="0" distT="0" distL="114300" distR="114300">
            <wp:extent cx="1381125" cy="200025"/>
            <wp:effectExtent b="0" l="0" r="0" t="0"/>
            <wp:docPr id="16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新細明體" w:cs="新細明體" w:eastAsia="新細明體" w:hAnsi="新細明體"/>
          <w:b w:val="0"/>
          <w:color w:val="000000"/>
          <w:sz w:val="24"/>
          <w:szCs w:val="24"/>
          <w:rtl w:val="0"/>
        </w:rPr>
        <w:br w:type="textWrapping"/>
        <w:t xml:space="preserve">分配律：</w:t>
      </w:r>
      <w:r w:rsidDel="00000000" w:rsidR="00000000" w:rsidRPr="00000000">
        <w:drawing>
          <wp:inline distB="0" distT="0" distL="114300" distR="114300">
            <wp:extent cx="1514475" cy="200025"/>
            <wp:effectExtent b="0" l="0" r="0" t="0"/>
            <wp:docPr id="15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新細明體" w:cs="新細明體" w:eastAsia="新細明體" w:hAnsi="新細明體"/>
          <w:b w:val="0"/>
          <w:color w:val="000000"/>
          <w:sz w:val="24"/>
          <w:szCs w:val="24"/>
          <w:rtl w:val="0"/>
        </w:rPr>
        <w:t xml:space="preserve">    </w:t>
      </w:r>
      <w:r w:rsidDel="00000000" w:rsidR="00000000" w:rsidRPr="00000000">
        <w:drawing>
          <wp:inline distB="0" distT="0" distL="114300" distR="114300">
            <wp:extent cx="1495425" cy="200025"/>
            <wp:effectExtent b="0" l="0" r="0" t="0"/>
            <wp:docPr id="18" name="image41.png"/>
            <a:graphic>
              <a:graphicData uri="http://schemas.openxmlformats.org/drawingml/2006/picture">
                <pic:pic>
                  <pic:nvPicPr>
                    <pic:cNvPr id="0" name="image4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新細明體" w:cs="新細明體" w:eastAsia="新細明體" w:hAnsi="新細明體"/>
          <w:b w:val="0"/>
          <w:color w:val="000000"/>
          <w:sz w:val="24"/>
          <w:szCs w:val="24"/>
          <w:rtl w:val="0"/>
        </w:rPr>
        <w:t xml:space="preserve"> </w:t>
        <w:br w:type="textWrapping"/>
        <w:t xml:space="preserve">        </w:t>
      </w:r>
      <w:r w:rsidDel="00000000" w:rsidR="00000000" w:rsidRPr="00000000">
        <w:drawing>
          <wp:inline distB="0" distT="0" distL="114300" distR="114300">
            <wp:extent cx="1514475" cy="200025"/>
            <wp:effectExtent b="0" l="0" r="0" t="0"/>
            <wp:docPr id="17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新細明體" w:cs="新細明體" w:eastAsia="新細明體" w:hAnsi="新細明體"/>
          <w:b w:val="0"/>
          <w:color w:val="000000"/>
          <w:sz w:val="24"/>
          <w:szCs w:val="24"/>
          <w:rtl w:val="0"/>
        </w:rPr>
        <w:t xml:space="preserve">    </w:t>
      </w:r>
      <w:r w:rsidDel="00000000" w:rsidR="00000000" w:rsidRPr="00000000">
        <w:drawing>
          <wp:inline distB="0" distT="0" distL="114300" distR="114300">
            <wp:extent cx="1495425" cy="200025"/>
            <wp:effectExtent b="0" l="0" r="0" t="0"/>
            <wp:docPr id="20" name="image43.png"/>
            <a:graphic>
              <a:graphicData uri="http://schemas.openxmlformats.org/drawingml/2006/picture">
                <pic:pic>
                  <pic:nvPicPr>
                    <pic:cNvPr id="0" name="image4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新細明體" w:cs="新細明體" w:eastAsia="新細明體" w:hAnsi="新細明體"/>
          <w:b w:val="0"/>
          <w:color w:val="000000"/>
          <w:sz w:val="24"/>
          <w:szCs w:val="24"/>
          <w:rtl w:val="0"/>
        </w:rPr>
        <w:br w:type="textWrapping"/>
        <w:t xml:space="preserve">上面是交換律、結合律、分配律標準的型式，但也要理解其它變化的型式，如      </w:t>
      </w:r>
      <w:r w:rsidDel="00000000" w:rsidR="00000000" w:rsidRPr="00000000">
        <w:drawing>
          <wp:inline distB="0" distT="0" distL="114300" distR="114300">
            <wp:extent cx="2286000" cy="390525"/>
            <wp:effectExtent b="0" l="0" r="0" t="0"/>
            <wp:docPr id="19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新細明體" w:cs="新細明體" w:eastAsia="新細明體" w:hAnsi="新細明體"/>
          <w:b w:val="0"/>
          <w:color w:val="000000"/>
          <w:sz w:val="24"/>
          <w:szCs w:val="24"/>
          <w:rtl w:val="0"/>
        </w:rPr>
        <w:br w:type="textWrapping"/>
        <w:t xml:space="preserve">        </w:t>
      </w:r>
      <w:r w:rsidDel="00000000" w:rsidR="00000000" w:rsidRPr="00000000">
        <w:drawing>
          <wp:inline distB="0" distT="0" distL="114300" distR="114300">
            <wp:extent cx="2676525" cy="390525"/>
            <wp:effectExtent b="0" l="0" r="0" t="0"/>
            <wp:docPr id="23" name="image48.png"/>
            <a:graphic>
              <a:graphicData uri="http://schemas.openxmlformats.org/drawingml/2006/picture">
                <pic:pic>
                  <pic:nvPicPr>
                    <pic:cNvPr id="0" name="image4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新細明體" w:cs="新細明體" w:eastAsia="新細明體" w:hAnsi="新細明體"/>
          <w:b w:val="0"/>
          <w:color w:val="000000"/>
          <w:sz w:val="24"/>
          <w:szCs w:val="24"/>
          <w:rtl w:val="0"/>
        </w:rPr>
        <w:t xml:space="preserve"> 。</w:t>
        <w:br w:type="textWrapping"/>
        <w:t xml:space="preserve">能分辨  </w:t>
      </w:r>
      <w:r w:rsidDel="00000000" w:rsidR="00000000" w:rsidRPr="00000000">
        <w:drawing>
          <wp:inline distB="0" distT="0" distL="114300" distR="114300">
            <wp:extent cx="1323975" cy="390525"/>
            <wp:effectExtent b="0" l="0" r="0" t="0"/>
            <wp:docPr id="21" name="image44.png"/>
            <a:graphic>
              <a:graphicData uri="http://schemas.openxmlformats.org/drawingml/2006/picture">
                <pic:pic>
                  <pic:nvPicPr>
                    <pic:cNvPr id="0" name="image4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60" w:before="60" w:line="240" w:lineRule="auto"/>
        <w:ind w:left="480" w:right="62" w:firstLine="0"/>
        <w:contextualSpacing w:val="0"/>
        <w:rPr>
          <w:rFonts w:ascii="新細明體" w:cs="新細明體" w:eastAsia="新細明體" w:hAnsi="新細明體"/>
          <w:b w:val="0"/>
          <w:color w:val="000000"/>
          <w:sz w:val="24"/>
          <w:szCs w:val="24"/>
        </w:rPr>
      </w:pPr>
      <w:r w:rsidDel="00000000" w:rsidR="00000000" w:rsidRPr="00000000">
        <w:rPr>
          <w:rFonts w:ascii="新細明體" w:cs="新細明體" w:eastAsia="新細明體" w:hAnsi="新細明體"/>
          <w:b w:val="0"/>
          <w:color w:val="000000"/>
          <w:sz w:val="24"/>
          <w:szCs w:val="24"/>
          <w:rtl w:val="0"/>
        </w:rPr>
        <w:t xml:space="preserve">與      </w:t>
      </w:r>
      <w:r w:rsidDel="00000000" w:rsidR="00000000" w:rsidRPr="00000000">
        <w:drawing>
          <wp:inline distB="0" distT="0" distL="114300" distR="114300">
            <wp:extent cx="2514600" cy="390525"/>
            <wp:effectExtent b="0" l="0" r="0" t="0"/>
            <wp:docPr id="22" name="image46.png"/>
            <a:graphic>
              <a:graphicData uri="http://schemas.openxmlformats.org/drawingml/2006/picture">
                <pic:pic>
                  <pic:nvPicPr>
                    <pic:cNvPr id="0" name="image46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新細明體" w:cs="新細明體" w:eastAsia="新細明體" w:hAnsi="新細明體"/>
          <w:b w:val="0"/>
          <w:color w:val="000000"/>
          <w:sz w:val="24"/>
          <w:szCs w:val="24"/>
          <w:rtl w:val="0"/>
        </w:rPr>
        <w:t xml:space="preserve">  的不同。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60" w:before="60" w:line="240" w:lineRule="auto"/>
        <w:ind w:left="480" w:right="62" w:hanging="480"/>
        <w:rPr>
          <w:rFonts w:ascii="新細明體" w:cs="新細明體" w:eastAsia="新細明體" w:hAnsi="新細明體"/>
          <w:b w:val="0"/>
          <w:color w:val="000000"/>
          <w:sz w:val="24"/>
          <w:szCs w:val="24"/>
        </w:rPr>
      </w:pPr>
      <w:r w:rsidDel="00000000" w:rsidR="00000000" w:rsidRPr="00000000">
        <w:rPr>
          <w:rFonts w:ascii="新細明體" w:cs="新細明體" w:eastAsia="新細明體" w:hAnsi="新細明體"/>
          <w:b w:val="0"/>
          <w:color w:val="000000"/>
          <w:sz w:val="24"/>
          <w:szCs w:val="24"/>
          <w:rtl w:val="0"/>
        </w:rPr>
        <w:t xml:space="preserve">除了上述的運算規則，另外去括號的規則也很重要，如</w:t>
        <w:br w:type="textWrapping"/>
        <w:t xml:space="preserve">        </w:t>
      </w:r>
      <w:r w:rsidDel="00000000" w:rsidR="00000000" w:rsidRPr="00000000">
        <w:drawing>
          <wp:inline distB="0" distT="0" distL="114300" distR="114300">
            <wp:extent cx="1114425" cy="200025"/>
            <wp:effectExtent b="0" l="0" r="0" t="0"/>
            <wp:docPr id="24" name="image49.png"/>
            <a:graphic>
              <a:graphicData uri="http://schemas.openxmlformats.org/drawingml/2006/picture">
                <pic:pic>
                  <pic:nvPicPr>
                    <pic:cNvPr id="0" name="image49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新細明體" w:cs="新細明體" w:eastAsia="新細明體" w:hAnsi="新細明體"/>
          <w:b w:val="0"/>
          <w:color w:val="000000"/>
          <w:sz w:val="24"/>
          <w:szCs w:val="24"/>
          <w:rtl w:val="0"/>
        </w:rPr>
        <w:t xml:space="preserve">；</w:t>
      </w:r>
      <w:r w:rsidDel="00000000" w:rsidR="00000000" w:rsidRPr="00000000">
        <w:drawing>
          <wp:inline distB="0" distT="0" distL="114300" distR="114300">
            <wp:extent cx="1114425" cy="200025"/>
            <wp:effectExtent b="0" l="0" r="0" t="0"/>
            <wp:docPr id="25" name="image50.png"/>
            <a:graphic>
              <a:graphicData uri="http://schemas.openxmlformats.org/drawingml/2006/picture">
                <pic:pic>
                  <pic:nvPicPr>
                    <pic:cNvPr id="0" name="image50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60" w:before="60" w:line="240" w:lineRule="auto"/>
        <w:ind w:left="480" w:right="62" w:hanging="480"/>
        <w:rPr>
          <w:rFonts w:ascii="新細明體" w:cs="新細明體" w:eastAsia="新細明體" w:hAnsi="新細明體"/>
          <w:b w:val="0"/>
          <w:color w:val="000000"/>
          <w:sz w:val="24"/>
          <w:szCs w:val="24"/>
        </w:rPr>
      </w:pPr>
      <w:r w:rsidDel="00000000" w:rsidR="00000000" w:rsidRPr="00000000">
        <w:rPr>
          <w:rFonts w:ascii="新細明體" w:cs="新細明體" w:eastAsia="新細明體" w:hAnsi="新細明體"/>
          <w:b w:val="0"/>
          <w:color w:val="000000"/>
          <w:sz w:val="24"/>
          <w:szCs w:val="24"/>
          <w:rtl w:val="0"/>
        </w:rPr>
        <w:t xml:space="preserve">國中階段需要熟練交換律、結合律、分配律。在國一的階段應先從實例開始，例如：理解如何利用交換律、結合律、分配律來簡化繁雜的計算，最後能達到符號計算熟練的地步，如</w:t>
        <w:br w:type="textWrapping"/>
      </w:r>
      <w:r w:rsidDel="00000000" w:rsidR="00000000" w:rsidRPr="00000000">
        <w:rPr>
          <w:rFonts w:ascii="Wingdings 2" w:cs="Wingdings 2" w:eastAsia="Wingdings 2" w:hAnsi="Wingdings 2"/>
          <w:b w:val="0"/>
          <w:color w:val="000000"/>
          <w:sz w:val="24"/>
          <w:szCs w:val="24"/>
          <w:rtl w:val="0"/>
        </w:rPr>
        <w:t xml:space="preserve">①</w:t>
      </w:r>
      <w:r w:rsidDel="00000000" w:rsidR="00000000" w:rsidRPr="00000000">
        <w:rPr>
          <w:rFonts w:ascii="新細明體" w:cs="新細明體" w:eastAsia="新細明體" w:hAnsi="新細明體"/>
          <w:b w:val="0"/>
          <w:color w:val="000000"/>
          <w:sz w:val="24"/>
          <w:szCs w:val="24"/>
          <w:rtl w:val="0"/>
        </w:rPr>
        <w:t xml:space="preserve"> 980＋76－376 = 980＋( 76－376 )</w:t>
        <w:br w:type="textWrapping"/>
        <w:t xml:space="preserve">                = 980－300 = 680</w:t>
        <w:br w:type="textWrapping"/>
      </w:r>
      <w:r w:rsidDel="00000000" w:rsidR="00000000" w:rsidRPr="00000000">
        <w:rPr>
          <w:rFonts w:ascii="Wingdings 2" w:cs="Wingdings 2" w:eastAsia="Wingdings 2" w:hAnsi="Wingdings 2"/>
          <w:b w:val="0"/>
          <w:color w:val="000000"/>
          <w:sz w:val="24"/>
          <w:szCs w:val="24"/>
          <w:rtl w:val="0"/>
        </w:rPr>
        <w:t xml:space="preserve">②</w:t>
      </w:r>
      <w:r w:rsidDel="00000000" w:rsidR="00000000" w:rsidRPr="00000000">
        <w:rPr>
          <w:rFonts w:ascii="新細明體" w:cs="新細明體" w:eastAsia="新細明體" w:hAnsi="新細明體"/>
          <w:b w:val="0"/>
          <w:color w:val="000000"/>
          <w:sz w:val="24"/>
          <w:szCs w:val="24"/>
          <w:rtl w:val="0"/>
        </w:rPr>
        <w:t xml:space="preserve"> 25 × 89 × 4 = ( 25 × 4 ) × 89 = 8900</w:t>
        <w:br w:type="textWrapping"/>
      </w:r>
      <w:r w:rsidDel="00000000" w:rsidR="00000000" w:rsidRPr="00000000">
        <w:rPr>
          <w:rFonts w:ascii="Wingdings 2" w:cs="Wingdings 2" w:eastAsia="Wingdings 2" w:hAnsi="Wingdings 2"/>
          <w:b w:val="0"/>
          <w:color w:val="000000"/>
          <w:sz w:val="24"/>
          <w:szCs w:val="24"/>
          <w:rtl w:val="0"/>
        </w:rPr>
        <w:t xml:space="preserve">③</w:t>
      </w:r>
      <w:r w:rsidDel="00000000" w:rsidR="00000000" w:rsidRPr="00000000">
        <w:rPr>
          <w:rFonts w:ascii="新細明體" w:cs="新細明體" w:eastAsia="新細明體" w:hAnsi="新細明體"/>
          <w:b w:val="0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drawing>
          <wp:inline distB="0" distT="0" distL="114300" distR="114300">
            <wp:extent cx="2828925" cy="428625"/>
            <wp:effectExtent b="0" l="0" r="0" t="0"/>
            <wp:docPr id="26" name="image57.png"/>
            <a:graphic>
              <a:graphicData uri="http://schemas.openxmlformats.org/drawingml/2006/picture">
                <pic:pic>
                  <pic:nvPicPr>
                    <pic:cNvPr id="0" name="image57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428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新細明體" w:cs="新細明體" w:eastAsia="新細明體" w:hAnsi="新細明體"/>
          <w:b w:val="0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Wingdings 2" w:cs="Wingdings 2" w:eastAsia="Wingdings 2" w:hAnsi="Wingdings 2"/>
          <w:b w:val="0"/>
          <w:color w:val="000000"/>
          <w:sz w:val="24"/>
          <w:szCs w:val="24"/>
          <w:rtl w:val="0"/>
        </w:rPr>
        <w:t xml:space="preserve">④</w:t>
      </w:r>
      <w:r w:rsidDel="00000000" w:rsidR="00000000" w:rsidRPr="00000000">
        <w:rPr>
          <w:rFonts w:ascii="新細明體" w:cs="新細明體" w:eastAsia="新細明體" w:hAnsi="新細明體"/>
          <w:b w:val="0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drawing>
          <wp:inline distB="0" distT="0" distL="114300" distR="114300">
            <wp:extent cx="2619375" cy="409575"/>
            <wp:effectExtent b="0" l="0" r="0" t="0"/>
            <wp:docPr id="27" name="image58.png"/>
            <a:graphic>
              <a:graphicData uri="http://schemas.openxmlformats.org/drawingml/2006/picture">
                <pic:pic>
                  <pic:nvPicPr>
                    <pic:cNvPr id="0" name="image58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409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新細明體" w:cs="新細明體" w:eastAsia="新細明體" w:hAnsi="新細明體"/>
          <w:b w:val="0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Wingdings 2" w:cs="Wingdings 2" w:eastAsia="Wingdings 2" w:hAnsi="Wingdings 2"/>
          <w:b w:val="0"/>
          <w:color w:val="000000"/>
          <w:sz w:val="24"/>
          <w:szCs w:val="24"/>
          <w:rtl w:val="0"/>
        </w:rPr>
        <w:t xml:space="preserve">⑤</w:t>
      </w:r>
      <w:r w:rsidDel="00000000" w:rsidR="00000000" w:rsidRPr="00000000">
        <w:rPr>
          <w:rFonts w:ascii="新細明體" w:cs="新細明體" w:eastAsia="新細明體" w:hAnsi="新細明體"/>
          <w:b w:val="0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drawing>
          <wp:inline distB="0" distT="0" distL="114300" distR="114300">
            <wp:extent cx="2695575" cy="409575"/>
            <wp:effectExtent b="0" l="0" r="0" t="0"/>
            <wp:docPr id="28" name="image59.png"/>
            <a:graphic>
              <a:graphicData uri="http://schemas.openxmlformats.org/drawingml/2006/picture">
                <pic:pic>
                  <pic:nvPicPr>
                    <pic:cNvPr id="0" name="image59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409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新細明體" w:cs="新細明體" w:eastAsia="新細明體" w:hAnsi="新細明體"/>
          <w:b w:val="0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Wingdings 2" w:cs="Wingdings 2" w:eastAsia="Wingdings 2" w:hAnsi="Wingdings 2"/>
          <w:b w:val="0"/>
          <w:color w:val="000000"/>
          <w:sz w:val="24"/>
          <w:szCs w:val="24"/>
          <w:rtl w:val="0"/>
        </w:rPr>
        <w:t xml:space="preserve">⑥</w:t>
      </w:r>
      <w:r w:rsidDel="00000000" w:rsidR="00000000" w:rsidRPr="00000000">
        <w:rPr>
          <w:rFonts w:ascii="新細明體" w:cs="新細明體" w:eastAsia="新細明體" w:hAnsi="新細明體"/>
          <w:b w:val="0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drawing>
          <wp:inline distB="0" distT="0" distL="114300" distR="114300">
            <wp:extent cx="1600200" cy="200025"/>
            <wp:effectExtent b="0" l="0" r="0" t="0"/>
            <wp:docPr id="29" name="image60.png"/>
            <a:graphic>
              <a:graphicData uri="http://schemas.openxmlformats.org/drawingml/2006/picture">
                <pic:pic>
                  <pic:nvPicPr>
                    <pic:cNvPr id="0" name="image60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新細明體" w:cs="新細明體" w:eastAsia="新細明體" w:hAnsi="新細明體"/>
          <w:b w:val="0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Wingdings 2" w:cs="Wingdings 2" w:eastAsia="Wingdings 2" w:hAnsi="Wingdings 2"/>
          <w:b w:val="0"/>
          <w:color w:val="000000"/>
          <w:sz w:val="24"/>
          <w:szCs w:val="24"/>
          <w:rtl w:val="0"/>
        </w:rPr>
        <w:t xml:space="preserve">⑦</w:t>
      </w:r>
      <w:r w:rsidDel="00000000" w:rsidR="00000000" w:rsidRPr="00000000">
        <w:rPr>
          <w:rFonts w:ascii="新細明體" w:cs="新細明體" w:eastAsia="新細明體" w:hAnsi="新細明體"/>
          <w:b w:val="0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drawing>
          <wp:inline distB="0" distT="0" distL="114300" distR="114300">
            <wp:extent cx="752475" cy="381000"/>
            <wp:effectExtent b="0" l="0" r="0" t="0"/>
            <wp:docPr id="30" name="image61.png"/>
            <a:graphic>
              <a:graphicData uri="http://schemas.openxmlformats.org/drawingml/2006/picture">
                <pic:pic>
                  <pic:nvPicPr>
                    <pic:cNvPr id="0" name="image61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38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新細明體" w:cs="新細明體" w:eastAsia="新細明體" w:hAnsi="新細明體"/>
          <w:b w:val="0"/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drawing>
          <wp:inline distB="0" distT="0" distL="114300" distR="114300">
            <wp:extent cx="123825" cy="142875"/>
            <wp:effectExtent b="0" l="0" r="0" t="0"/>
            <wp:docPr id="31" name="image62.png"/>
            <a:graphic>
              <a:graphicData uri="http://schemas.openxmlformats.org/drawingml/2006/picture">
                <pic:pic>
                  <pic:nvPicPr>
                    <pic:cNvPr id="0" name="image62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新細明體" w:cs="新細明體" w:eastAsia="新細明體" w:hAnsi="新細明體"/>
          <w:b w:val="0"/>
          <w:color w:val="000000"/>
          <w:sz w:val="24"/>
          <w:szCs w:val="24"/>
          <w:rtl w:val="0"/>
        </w:rPr>
        <w:t xml:space="preserve"> ≠ 0，</w:t>
      </w:r>
      <w:r w:rsidDel="00000000" w:rsidR="00000000" w:rsidRPr="00000000">
        <w:drawing>
          <wp:inline distB="0" distT="0" distL="114300" distR="114300">
            <wp:extent cx="123825" cy="180975"/>
            <wp:effectExtent b="0" l="0" r="0" t="0"/>
            <wp:docPr id="2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新細明體" w:cs="新細明體" w:eastAsia="新細明體" w:hAnsi="新細明體"/>
          <w:b w:val="0"/>
          <w:color w:val="000000"/>
          <w:sz w:val="24"/>
          <w:szCs w:val="24"/>
          <w:rtl w:val="0"/>
        </w:rPr>
        <w:t xml:space="preserve"> ≠ 0，</w:t>
      </w:r>
      <w:r w:rsidDel="00000000" w:rsidR="00000000" w:rsidRPr="00000000">
        <w:drawing>
          <wp:inline distB="0" distT="0" distL="114300" distR="114300">
            <wp:extent cx="114300" cy="142875"/>
            <wp:effectExtent b="0" l="0" r="0" t="0"/>
            <wp:docPr id="3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新細明體" w:cs="新細明體" w:eastAsia="新細明體" w:hAnsi="新細明體"/>
          <w:b w:val="0"/>
          <w:color w:val="000000"/>
          <w:sz w:val="24"/>
          <w:szCs w:val="24"/>
          <w:rtl w:val="0"/>
        </w:rPr>
        <w:t xml:space="preserve"> ≠ 0)</w:t>
        <w:br w:type="textWrapping"/>
      </w:r>
      <w:r w:rsidDel="00000000" w:rsidR="00000000" w:rsidRPr="00000000">
        <w:rPr>
          <w:rFonts w:ascii="Wingdings 2" w:cs="Wingdings 2" w:eastAsia="Wingdings 2" w:hAnsi="Wingdings 2"/>
          <w:b w:val="0"/>
          <w:color w:val="000000"/>
          <w:sz w:val="24"/>
          <w:szCs w:val="24"/>
          <w:rtl w:val="0"/>
        </w:rPr>
        <w:t xml:space="preserve">⑧</w:t>
      </w:r>
      <w:r w:rsidDel="00000000" w:rsidR="00000000" w:rsidRPr="00000000">
        <w:rPr>
          <w:rFonts w:ascii="新細明體" w:cs="新細明體" w:eastAsia="新細明體" w:hAnsi="新細明體"/>
          <w:b w:val="0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drawing>
          <wp:inline distB="0" distT="0" distL="114300" distR="114300">
            <wp:extent cx="1057275" cy="381000"/>
            <wp:effectExtent b="0" l="0" r="0" t="0"/>
            <wp:docPr id="4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8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新細明體" w:cs="新細明體" w:eastAsia="新細明體" w:hAnsi="新細明體"/>
          <w:b w:val="0"/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drawing>
          <wp:inline distB="0" distT="0" distL="114300" distR="114300">
            <wp:extent cx="123825" cy="180975"/>
            <wp:effectExtent b="0" l="0" r="0" t="0"/>
            <wp:docPr id="5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新細明體" w:cs="新細明體" w:eastAsia="新細明體" w:hAnsi="新細明體"/>
          <w:b w:val="0"/>
          <w:color w:val="000000"/>
          <w:sz w:val="24"/>
          <w:szCs w:val="24"/>
          <w:rtl w:val="0"/>
        </w:rPr>
        <w:t xml:space="preserve"> ≠ 0，</w:t>
      </w:r>
      <w:r w:rsidDel="00000000" w:rsidR="00000000" w:rsidRPr="00000000">
        <w:drawing>
          <wp:inline distB="0" distT="0" distL="114300" distR="114300">
            <wp:extent cx="114300" cy="142875"/>
            <wp:effectExtent b="0" l="0" r="0" t="0"/>
            <wp:docPr id="6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新細明體" w:cs="新細明體" w:eastAsia="新細明體" w:hAnsi="新細明體"/>
          <w:b w:val="0"/>
          <w:color w:val="000000"/>
          <w:sz w:val="24"/>
          <w:szCs w:val="24"/>
          <w:rtl w:val="0"/>
        </w:rPr>
        <w:t xml:space="preserve"> ≠ 0)</w:t>
        <w:br w:type="textWrapping"/>
        <w:t xml:space="preserve">上面應用運算規則到簡化的例子，在教學上，要配合訓練學生的觀察能力。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368300</wp:posOffset>
                </wp:positionH>
                <wp:positionV relativeFrom="paragraph">
                  <wp:posOffset>2933700</wp:posOffset>
                </wp:positionV>
                <wp:extent cx="800100" cy="558800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45950" y="3503775"/>
                          <a:ext cx="800099" cy="5524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180"/>
                              <w:ind w:left="0" w:right="0" w:firstLine="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1   1   1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／  ／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／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3.99999618530273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／  ／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／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180"/>
                              <w:ind w:left="0" w:right="0" w:firstLine="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1   1   1</w:t>
                            </w:r>
                          </w:p>
                        </w:txbxContent>
                      </wps:txbx>
                      <wps:bodyPr anchorCtr="0" anchor="t" bIns="45700" lIns="91425" rIns="91425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368300</wp:posOffset>
                </wp:positionH>
                <wp:positionV relativeFrom="paragraph">
                  <wp:posOffset>2933700</wp:posOffset>
                </wp:positionV>
                <wp:extent cx="800100" cy="558800"/>
                <wp:effectExtent b="0" l="0" r="0" t="0"/>
                <wp:wrapNone/>
                <wp:docPr id="32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558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480" w:right="60" w:hanging="480"/>
        <w:contextualSpacing w:val="1"/>
        <w:jc w:val="both"/>
        <w:rPr>
          <w:rFonts w:ascii="Calibri" w:cs="Calibri" w:eastAsia="Calibri" w:hAnsi="Calibri"/>
          <w:b w:val="0"/>
          <w:color w:val="000000"/>
          <w:sz w:val="24"/>
          <w:szCs w:val="24"/>
        </w:rPr>
      </w:pPr>
      <w:r w:rsidDel="00000000" w:rsidR="00000000" w:rsidRPr="00000000">
        <w:rPr>
          <w:rFonts w:ascii="新細明體" w:cs="新細明體" w:eastAsia="新細明體" w:hAnsi="新細明體"/>
          <w:b w:val="0"/>
          <w:color w:val="000000"/>
          <w:sz w:val="24"/>
          <w:szCs w:val="24"/>
          <w:rtl w:val="0"/>
        </w:rPr>
        <w:t xml:space="preserve">國一以後應加深這些運算規則的代數操作。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6"/>
        <w:gridCol w:w="2076"/>
        <w:gridCol w:w="2077"/>
        <w:gridCol w:w="2077"/>
        <w:tblGridChange w:id="0">
          <w:tblGrid>
            <w:gridCol w:w="2076"/>
            <w:gridCol w:w="2076"/>
            <w:gridCol w:w="2077"/>
            <w:gridCol w:w="207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能力指標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下修建議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教學影片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協作設計人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7-n-07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5-a-01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5-a-02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5-a-03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bookmarkStart w:colFirst="0" w:colLast="0" w:name="_4qkz5fehb6ip" w:id="0"/>
            <w:bookmarkEnd w:id="0"/>
            <w:r w:rsidDel="00000000" w:rsidR="00000000" w:rsidRPr="00000000">
              <w:rPr>
                <w:rtl w:val="0"/>
              </w:rPr>
              <w:t xml:space="preserve">乘法對加法的分配律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bookmarkStart w:colFirst="0" w:colLast="0" w:name="_rutau68qik7g" w:id="1"/>
            <w:bookmarkEnd w:id="1"/>
            <w:r w:rsidDel="00000000" w:rsidR="00000000" w:rsidRPr="00000000">
              <w:drawing>
                <wp:inline distB="114300" distT="114300" distL="114300" distR="114300">
                  <wp:extent cx="1171575" cy="1168400"/>
                  <wp:effectExtent b="0" l="0" r="0" t="0"/>
                  <wp:docPr id="1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68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bookmarkStart w:colFirst="0" w:colLast="0" w:name="_gjdgxs" w:id="2"/>
            <w:bookmarkEnd w:id="2"/>
            <w:r w:rsidDel="00000000" w:rsidR="00000000" w:rsidRPr="00000000">
              <w:rPr>
                <w:rtl w:val="0"/>
              </w:rPr>
              <w:t xml:space="preserve">乘法結合律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drawing>
                <wp:inline distB="114300" distT="114300" distL="114300" distR="114300">
                  <wp:extent cx="1171575" cy="1168400"/>
                  <wp:effectExtent b="0" l="0" r="0" t="0"/>
                  <wp:docPr id="7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3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68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除法與分配律的關係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drawing>
                <wp:inline distB="114300" distT="114300" distL="114300" distR="114300">
                  <wp:extent cx="1171575" cy="1168400"/>
                  <wp:effectExtent b="0" l="0" r="0" t="0"/>
                  <wp:docPr id="8" name="image17.png"/>
                  <a:graphic>
                    <a:graphicData uri="http://schemas.openxmlformats.org/drawingml/2006/picture">
                      <pic:pic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68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南平中學 黃唯銘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bookmarkStart w:colFirst="0" w:colLast="0" w:name="_30j0zll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jc w:val="center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學習單-1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jc w:val="center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班級：                            座號：                        姓名：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/>
      </w:pPr>
      <w:bookmarkStart w:colFirst="0" w:colLast="0" w:name="_pm49g4k0jwt5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/>
      </w:pPr>
      <w:bookmarkStart w:colFirst="0" w:colLast="0" w:name="_1fob9te" w:id="5"/>
      <w:bookmarkEnd w:id="5"/>
      <w:r w:rsidDel="00000000" w:rsidR="00000000" w:rsidRPr="00000000">
        <w:drawing>
          <wp:inline distB="114300" distT="114300" distL="114300" distR="114300">
            <wp:extent cx="5967454" cy="6775322"/>
            <wp:effectExtent b="0" l="0" r="0" t="0"/>
            <wp:docPr id="9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67454" cy="67753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48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ind w:left="48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jc w:val="center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學習單-2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jc w:val="center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班級：                            座號：                        姓名：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drawing>
          <wp:inline distB="114300" distT="114300" distL="114300" distR="114300">
            <wp:extent cx="5991701" cy="7084050"/>
            <wp:effectExtent b="0" l="0" r="0" t="0"/>
            <wp:docPr id="14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91701" cy="7084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jc w:val="center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學習單-3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jc w:val="center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班級：                            座號：                        姓名： 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5931027" cy="6798199"/>
            <wp:effectExtent b="0" l="0" r="0" t="0"/>
            <wp:docPr id="10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1027" cy="67981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  <w:font w:name="Gungsuh"/>
  <w:font w:name="新細明體"/>
  <w:font w:name="標楷體"/>
  <w:font w:name="Wingdings 2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480" w:firstLine="0"/>
      </w:pPr>
      <w:rPr/>
    </w:lvl>
    <w:lvl w:ilvl="1">
      <w:start w:val="1"/>
      <w:numFmt w:val="decimal"/>
      <w:lvlText w:val="%2、"/>
      <w:lvlJc w:val="left"/>
      <w:pPr>
        <w:ind w:left="960" w:firstLine="480"/>
      </w:pPr>
      <w:rPr/>
    </w:lvl>
    <w:lvl w:ilvl="2">
      <w:start w:val="1"/>
      <w:numFmt w:val="lowerRoman"/>
      <w:lvlText w:val="%3."/>
      <w:lvlJc w:val="right"/>
      <w:pPr>
        <w:ind w:left="1440" w:firstLine="960"/>
      </w:pPr>
      <w:rPr/>
    </w:lvl>
    <w:lvl w:ilvl="3">
      <w:start w:val="1"/>
      <w:numFmt w:val="decimal"/>
      <w:lvlText w:val="%4."/>
      <w:lvlJc w:val="left"/>
      <w:pPr>
        <w:ind w:left="1920" w:firstLine="1440"/>
      </w:pPr>
      <w:rPr/>
    </w:lvl>
    <w:lvl w:ilvl="4">
      <w:start w:val="1"/>
      <w:numFmt w:val="decimal"/>
      <w:lvlText w:val="%5、"/>
      <w:lvlJc w:val="left"/>
      <w:pPr>
        <w:ind w:left="2400" w:firstLine="1920"/>
      </w:pPr>
      <w:rPr/>
    </w:lvl>
    <w:lvl w:ilvl="5">
      <w:start w:val="1"/>
      <w:numFmt w:val="lowerRoman"/>
      <w:lvlText w:val="%6."/>
      <w:lvlJc w:val="right"/>
      <w:pPr>
        <w:ind w:left="2880" w:firstLine="2400"/>
      </w:pPr>
      <w:rPr/>
    </w:lvl>
    <w:lvl w:ilvl="6">
      <w:start w:val="1"/>
      <w:numFmt w:val="decimal"/>
      <w:lvlText w:val="%7."/>
      <w:lvlJc w:val="left"/>
      <w:pPr>
        <w:ind w:left="3360" w:firstLine="2880"/>
      </w:pPr>
      <w:rPr/>
    </w:lvl>
    <w:lvl w:ilvl="7">
      <w:start w:val="1"/>
      <w:numFmt w:val="decimal"/>
      <w:lvlText w:val="%8、"/>
      <w:lvlJc w:val="left"/>
      <w:pPr>
        <w:ind w:left="3840" w:firstLine="3360"/>
      </w:pPr>
      <w:rPr/>
    </w:lvl>
    <w:lvl w:ilvl="8">
      <w:start w:val="1"/>
      <w:numFmt w:val="lowerRoman"/>
      <w:lvlText w:val="%9."/>
      <w:lvlJc w:val="right"/>
      <w:pPr>
        <w:ind w:left="4320" w:firstLine="38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120" w:before="480" w:line="240" w:lineRule="auto"/>
    </w:pPr>
    <w:rPr>
      <w:rFonts w:ascii="Calibri" w:cs="Calibri" w:eastAsia="Calibri" w:hAnsi="Calibri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80" w:before="360" w:line="240" w:lineRule="auto"/>
    </w:pPr>
    <w:rPr>
      <w:rFonts w:ascii="Calibri" w:cs="Calibri" w:eastAsia="Calibri" w:hAnsi="Calibri"/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80" w:before="280" w:line="240" w:lineRule="auto"/>
    </w:pPr>
    <w:rPr>
      <w:rFonts w:ascii="Calibri" w:cs="Calibri" w:eastAsia="Calibri" w:hAnsi="Calibri"/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40" w:before="240" w:line="240" w:lineRule="auto"/>
    </w:pPr>
    <w:rPr>
      <w:rFonts w:ascii="Calibri" w:cs="Calibri" w:eastAsia="Calibri" w:hAnsi="Calibri"/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40" w:before="220" w:line="240" w:lineRule="auto"/>
    </w:pPr>
    <w:rPr>
      <w:rFonts w:ascii="Calibri" w:cs="Calibri" w:eastAsia="Calibri" w:hAnsi="Calibri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40" w:before="200" w:line="240" w:lineRule="auto"/>
    </w:pPr>
    <w:rPr>
      <w:rFonts w:ascii="Calibri" w:cs="Calibri" w:eastAsia="Calibri" w:hAnsi="Calibri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120" w:before="480" w:line="240" w:lineRule="auto"/>
    </w:pPr>
    <w:rPr>
      <w:rFonts w:ascii="Calibri" w:cs="Calibri" w:eastAsia="Calibri" w:hAnsi="Calibri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80" w:before="360" w:line="240" w:lineRule="auto"/>
    </w:pPr>
    <w:rPr>
      <w:rFonts w:ascii="Georgia" w:cs="Georgia" w:eastAsia="Georgia" w:hAnsi="Georgia"/>
      <w:b w:val="0"/>
      <w:i w:val="1"/>
      <w:color w:val="666666"/>
      <w:sz w:val="48"/>
      <w:szCs w:val="48"/>
    </w:rPr>
  </w:style>
  <w:style w:type="table" w:styleId="Table1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58.png"/><Relationship Id="rId22" Type="http://schemas.openxmlformats.org/officeDocument/2006/relationships/image" Target="media/image60.png"/><Relationship Id="rId21" Type="http://schemas.openxmlformats.org/officeDocument/2006/relationships/image" Target="media/image59.png"/><Relationship Id="rId24" Type="http://schemas.openxmlformats.org/officeDocument/2006/relationships/image" Target="media/image62.png"/><Relationship Id="rId23" Type="http://schemas.openxmlformats.org/officeDocument/2006/relationships/image" Target="media/image61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38.png"/><Relationship Id="rId26" Type="http://schemas.openxmlformats.org/officeDocument/2006/relationships/image" Target="media/image11.png"/><Relationship Id="rId25" Type="http://schemas.openxmlformats.org/officeDocument/2006/relationships/image" Target="media/image10.png"/><Relationship Id="rId28" Type="http://schemas.openxmlformats.org/officeDocument/2006/relationships/image" Target="media/image13.png"/><Relationship Id="rId27" Type="http://schemas.openxmlformats.org/officeDocument/2006/relationships/image" Target="media/image12.png"/><Relationship Id="rId5" Type="http://schemas.openxmlformats.org/officeDocument/2006/relationships/image" Target="media/image27.png"/><Relationship Id="rId6" Type="http://schemas.openxmlformats.org/officeDocument/2006/relationships/image" Target="media/image30.png"/><Relationship Id="rId29" Type="http://schemas.openxmlformats.org/officeDocument/2006/relationships/image" Target="media/image14.png"/><Relationship Id="rId7" Type="http://schemas.openxmlformats.org/officeDocument/2006/relationships/image" Target="media/image29.png"/><Relationship Id="rId8" Type="http://schemas.openxmlformats.org/officeDocument/2006/relationships/image" Target="media/image39.png"/><Relationship Id="rId31" Type="http://schemas.openxmlformats.org/officeDocument/2006/relationships/image" Target="media/image9.png"/><Relationship Id="rId30" Type="http://schemas.openxmlformats.org/officeDocument/2006/relationships/image" Target="media/image64.png"/><Relationship Id="rId11" Type="http://schemas.openxmlformats.org/officeDocument/2006/relationships/image" Target="media/image40.png"/><Relationship Id="rId33" Type="http://schemas.openxmlformats.org/officeDocument/2006/relationships/image" Target="media/image17.png"/><Relationship Id="rId10" Type="http://schemas.openxmlformats.org/officeDocument/2006/relationships/image" Target="media/image41.png"/><Relationship Id="rId32" Type="http://schemas.openxmlformats.org/officeDocument/2006/relationships/image" Target="media/image15.png"/><Relationship Id="rId13" Type="http://schemas.openxmlformats.org/officeDocument/2006/relationships/image" Target="media/image42.png"/><Relationship Id="rId35" Type="http://schemas.openxmlformats.org/officeDocument/2006/relationships/image" Target="media/image31.png"/><Relationship Id="rId12" Type="http://schemas.openxmlformats.org/officeDocument/2006/relationships/image" Target="media/image43.png"/><Relationship Id="rId34" Type="http://schemas.openxmlformats.org/officeDocument/2006/relationships/image" Target="media/image18.png"/><Relationship Id="rId15" Type="http://schemas.openxmlformats.org/officeDocument/2006/relationships/image" Target="media/image44.png"/><Relationship Id="rId14" Type="http://schemas.openxmlformats.org/officeDocument/2006/relationships/image" Target="media/image48.png"/><Relationship Id="rId36" Type="http://schemas.openxmlformats.org/officeDocument/2006/relationships/image" Target="media/image26.png"/><Relationship Id="rId17" Type="http://schemas.openxmlformats.org/officeDocument/2006/relationships/image" Target="media/image49.png"/><Relationship Id="rId16" Type="http://schemas.openxmlformats.org/officeDocument/2006/relationships/image" Target="media/image46.png"/><Relationship Id="rId19" Type="http://schemas.openxmlformats.org/officeDocument/2006/relationships/image" Target="media/image57.png"/><Relationship Id="rId18" Type="http://schemas.openxmlformats.org/officeDocument/2006/relationships/image" Target="media/image50.png"/></Relationships>
</file>